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770EE">
              <w:rPr>
                <w:rFonts w:ascii="Times New Roman" w:eastAsia="Times New Roman" w:hAnsi="Times New Roman"/>
              </w:rPr>
              <w:t xml:space="preserve">Стены кирпичные </w:t>
            </w:r>
            <w:r w:rsidR="00477D04">
              <w:rPr>
                <w:rFonts w:ascii="Times New Roman" w:eastAsia="Times New Roman" w:hAnsi="Times New Roman"/>
              </w:rPr>
              <w:t>с облицовкой керамическими блоками и плитками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744FFC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650.00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744FFC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</w:t>
            </w:r>
            <w:r w:rsidR="00477D04">
              <w:rPr>
                <w:rFonts w:ascii="Times New Roman" w:eastAsia="Times New Roman" w:hAnsi="Times New Roman"/>
              </w:rPr>
              <w:t>8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7D04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744FFC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744FFC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77D04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2008</w:t>
            </w:r>
          </w:p>
        </w:tc>
      </w:tr>
      <w:tr w:rsidR="004766D1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766D1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766D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C262C1" w:rsidP="00744FF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744FFC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.0</w:t>
            </w:r>
            <w:r w:rsidR="00744FFC">
              <w:rPr>
                <w:rFonts w:ascii="Times New Roman" w:eastAsia="Times New Roman" w:hAnsi="Times New Roman"/>
              </w:rPr>
              <w:t>1.2007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744FFC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20.01</w:t>
            </w:r>
            <w:r>
              <w:rPr>
                <w:rFonts w:ascii="Times New Roman" w:eastAsia="Times New Roman" w:hAnsi="Times New Roman"/>
              </w:rPr>
              <w:t>.201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7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3770EE" w:rsidRDefault="003770EE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Default="003770EE"/>
        </w:tc>
      </w:tr>
      <w:tr w:rsidR="003770EE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98565B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5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5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75475B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477D04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.0</w:t>
            </w:r>
            <w:r w:rsidR="00477D04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77D04">
              <w:rPr>
                <w:rFonts w:ascii="Times New Roman" w:eastAsia="Times New Roman" w:hAnsi="Times New Roman"/>
              </w:rPr>
              <w:t>1</w:t>
            </w:r>
          </w:p>
        </w:tc>
      </w:tr>
      <w:tr w:rsidR="0098565B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75475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7D04E1" w:rsidRDefault="0075475B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3B5B61" w:rsidRDefault="0098565B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477D04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26.08.2015</w:t>
            </w: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3770EE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</w:t>
            </w:r>
            <w:r w:rsidR="00477D04">
              <w:rPr>
                <w:rFonts w:ascii="Times New Roman" w:eastAsia="Times New Roman" w:hAnsi="Times New Roman"/>
              </w:rPr>
              <w:t>от</w:t>
            </w:r>
            <w:r w:rsidR="00B96CEE">
              <w:rPr>
                <w:rFonts w:ascii="Times New Roman" w:eastAsia="Times New Roman" w:hAnsi="Times New Roman"/>
              </w:rPr>
              <w:t>крытая</w:t>
            </w:r>
            <w:r>
              <w:rPr>
                <w:rFonts w:ascii="Times New Roman" w:eastAsia="Times New Roman" w:hAnsi="Times New Roman"/>
              </w:rPr>
              <w:t xml:space="preserve"> система)</w:t>
            </w:r>
          </w:p>
        </w:tc>
      </w:tr>
      <w:tr w:rsidR="003770EE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26.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3770EE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3770EE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3770EE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3770EE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744FFC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5D3BEA"/>
    <w:rsid w:val="006A7607"/>
    <w:rsid w:val="00744FFC"/>
    <w:rsid w:val="0075475B"/>
    <w:rsid w:val="0098565B"/>
    <w:rsid w:val="00A2493A"/>
    <w:rsid w:val="00B96CEE"/>
    <w:rsid w:val="00BF2F35"/>
    <w:rsid w:val="00C262C1"/>
    <w:rsid w:val="00CA30E2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3</cp:revision>
  <cp:lastPrinted>2017-01-12T12:08:00Z</cp:lastPrinted>
  <dcterms:created xsi:type="dcterms:W3CDTF">2017-01-17T08:42:00Z</dcterms:created>
  <dcterms:modified xsi:type="dcterms:W3CDTF">2017-01-17T09:40:00Z</dcterms:modified>
</cp:coreProperties>
</file>